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704A" w14:textId="0FE058E6" w:rsidR="00732E09" w:rsidRPr="007F7024" w:rsidRDefault="001A167F">
      <w:pPr>
        <w:spacing w:after="320" w:line="288" w:lineRule="auto"/>
        <w:rPr>
          <w:rFonts w:ascii="Segoe UI" w:hAnsi="Segoe UI" w:cs="Segoe UI"/>
          <w:b/>
          <w:color w:val="000000"/>
          <w:sz w:val="20"/>
          <w:szCs w:val="20"/>
        </w:rPr>
      </w:pPr>
      <w:r w:rsidRPr="007F7024">
        <w:rPr>
          <w:rStyle w:val="docdata"/>
          <w:rFonts w:ascii="Segoe UI" w:hAnsi="Segoe UI" w:cs="Segoe UI"/>
          <w:b/>
          <w:color w:val="000000"/>
          <w:sz w:val="20"/>
          <w:szCs w:val="20"/>
        </w:rPr>
        <w:t xml:space="preserve">Příloha č. </w:t>
      </w:r>
      <w:r w:rsidR="002C12AA" w:rsidRPr="007F7024">
        <w:rPr>
          <w:rStyle w:val="docdata"/>
          <w:rFonts w:ascii="Segoe UI" w:hAnsi="Segoe UI" w:cs="Segoe UI"/>
          <w:b/>
          <w:color w:val="000000"/>
          <w:sz w:val="20"/>
          <w:szCs w:val="20"/>
        </w:rPr>
        <w:t>1</w:t>
      </w:r>
      <w:r w:rsidRPr="007F7024">
        <w:rPr>
          <w:rStyle w:val="docdata"/>
          <w:rFonts w:ascii="Segoe UI" w:hAnsi="Segoe UI" w:cs="Segoe UI"/>
          <w:b/>
          <w:color w:val="000000"/>
          <w:sz w:val="20"/>
          <w:szCs w:val="20"/>
        </w:rPr>
        <w:t xml:space="preserve"> výz</w:t>
      </w:r>
      <w:r w:rsidR="008677AE" w:rsidRPr="007F7024">
        <w:rPr>
          <w:rStyle w:val="docdata"/>
          <w:rFonts w:ascii="Segoe UI" w:hAnsi="Segoe UI" w:cs="Segoe UI"/>
          <w:b/>
          <w:color w:val="000000"/>
          <w:sz w:val="20"/>
          <w:szCs w:val="20"/>
        </w:rPr>
        <w:t>ev</w:t>
      </w:r>
      <w:r w:rsidRPr="007F7024">
        <w:rPr>
          <w:rStyle w:val="docdata"/>
          <w:rFonts w:ascii="Segoe UI" w:hAnsi="Segoe UI" w:cs="Segoe UI"/>
          <w:b/>
          <w:color w:val="000000"/>
          <w:sz w:val="20"/>
          <w:szCs w:val="20"/>
        </w:rPr>
        <w:t xml:space="preserve"> OPST č. 19</w:t>
      </w:r>
      <w:r w:rsidR="00AC7352" w:rsidRPr="007F7024">
        <w:rPr>
          <w:rStyle w:val="docdata"/>
          <w:rFonts w:ascii="Segoe UI" w:hAnsi="Segoe UI" w:cs="Segoe UI"/>
          <w:b/>
          <w:color w:val="000000"/>
          <w:sz w:val="20"/>
          <w:szCs w:val="20"/>
        </w:rPr>
        <w:t xml:space="preserve">, </w:t>
      </w:r>
      <w:r w:rsidRPr="007F7024">
        <w:rPr>
          <w:rStyle w:val="docdata"/>
          <w:rFonts w:ascii="Segoe UI" w:hAnsi="Segoe UI" w:cs="Segoe UI"/>
          <w:b/>
          <w:color w:val="000000"/>
          <w:sz w:val="20"/>
          <w:szCs w:val="20"/>
        </w:rPr>
        <w:t>20</w:t>
      </w:r>
      <w:r w:rsidR="00AC7352" w:rsidRPr="007F7024">
        <w:rPr>
          <w:rStyle w:val="docdata"/>
          <w:rFonts w:ascii="Segoe UI" w:hAnsi="Segoe UI" w:cs="Segoe UI"/>
          <w:b/>
          <w:color w:val="000000"/>
          <w:sz w:val="20"/>
          <w:szCs w:val="20"/>
        </w:rPr>
        <w:t xml:space="preserve">, </w:t>
      </w:r>
      <w:r w:rsidRPr="007F7024">
        <w:rPr>
          <w:rStyle w:val="docdata"/>
          <w:rFonts w:ascii="Segoe UI" w:hAnsi="Segoe UI" w:cs="Segoe UI"/>
          <w:b/>
          <w:color w:val="000000"/>
          <w:sz w:val="20"/>
          <w:szCs w:val="20"/>
        </w:rPr>
        <w:t>21/2023</w:t>
      </w:r>
    </w:p>
    <w:p w14:paraId="41F9A657" w14:textId="77777777" w:rsidR="00732E09" w:rsidRPr="007F7024" w:rsidRDefault="001A167F" w:rsidP="007617C7">
      <w:pPr>
        <w:pStyle w:val="Nadpis20"/>
        <w:keepNext w:val="0"/>
        <w:keepLines w:val="0"/>
        <w:spacing w:before="240" w:after="60" w:line="276" w:lineRule="auto"/>
        <w:jc w:val="center"/>
        <w:rPr>
          <w:rFonts w:ascii="Segoe UI" w:eastAsia="Calibri" w:hAnsi="Segoe UI" w:cs="Segoe UI"/>
          <w:caps/>
          <w:color w:val="3E1F65"/>
          <w:sz w:val="36"/>
          <w:szCs w:val="36"/>
        </w:rPr>
      </w:pPr>
      <w:r w:rsidRPr="007F7024">
        <w:rPr>
          <w:rFonts w:ascii="Segoe UI" w:eastAsia="Calibri" w:hAnsi="Segoe UI" w:cs="Segoe UI"/>
          <w:caps/>
          <w:color w:val="3E1F65"/>
          <w:sz w:val="36"/>
          <w:szCs w:val="36"/>
        </w:rPr>
        <w:t>Minimální obsah Projektového záměru</w:t>
      </w:r>
    </w:p>
    <w:p w14:paraId="442458ED" w14:textId="77777777" w:rsidR="00732E09" w:rsidRPr="007F7024" w:rsidRDefault="001A167F" w:rsidP="00256B9C">
      <w:pPr>
        <w:pStyle w:val="nadpis1"/>
      </w:pPr>
      <w:r w:rsidRPr="007F7024">
        <w:t>Základní údaje o projektu</w:t>
      </w:r>
    </w:p>
    <w:p w14:paraId="4174666C" w14:textId="77777777" w:rsidR="00732E09" w:rsidRPr="007F7024" w:rsidRDefault="001A167F" w:rsidP="004004F6">
      <w:pPr>
        <w:pStyle w:val="nadpis2"/>
        <w:ind w:left="935"/>
      </w:pPr>
      <w:r w:rsidRPr="007F7024">
        <w:t>Název projektu</w:t>
      </w:r>
    </w:p>
    <w:p w14:paraId="298A0D69" w14:textId="77777777" w:rsidR="00732E09" w:rsidRPr="007F7024" w:rsidRDefault="001A167F" w:rsidP="004004F6">
      <w:pPr>
        <w:pStyle w:val="nadpis2"/>
        <w:ind w:left="935"/>
      </w:pPr>
      <w:r w:rsidRPr="007F7024">
        <w:t>Místo realizace</w:t>
      </w:r>
    </w:p>
    <w:p w14:paraId="30313642" w14:textId="5FCCA340" w:rsidR="00732E09" w:rsidRPr="007F7024" w:rsidRDefault="001A167F" w:rsidP="004004F6">
      <w:pPr>
        <w:pStyle w:val="nadpis2"/>
        <w:ind w:left="935"/>
      </w:pPr>
      <w:r w:rsidRPr="007F7024">
        <w:t>Předpokládané souhrnné náklady na projekt</w:t>
      </w:r>
    </w:p>
    <w:p w14:paraId="471B1CD0" w14:textId="39A0904D" w:rsidR="00732E09" w:rsidRPr="007F7024" w:rsidRDefault="001A167F" w:rsidP="004004F6">
      <w:pPr>
        <w:pStyle w:val="nadpis2"/>
        <w:ind w:left="935"/>
      </w:pPr>
      <w:r w:rsidRPr="007F7024">
        <w:t>Projektové období</w:t>
      </w:r>
    </w:p>
    <w:p w14:paraId="762D43AE" w14:textId="1033ADEF" w:rsidR="00732E09" w:rsidRPr="007F7024" w:rsidRDefault="001A167F" w:rsidP="00256B9C">
      <w:pPr>
        <w:pStyle w:val="nadpis1"/>
      </w:pPr>
      <w:r w:rsidRPr="007F7024">
        <w:t>Informace o žadateli</w:t>
      </w:r>
    </w:p>
    <w:p w14:paraId="76BF4F37" w14:textId="233AC070" w:rsidR="00732E09" w:rsidRPr="007F7024" w:rsidRDefault="001A167F" w:rsidP="004004F6">
      <w:pPr>
        <w:pStyle w:val="nadpis2"/>
        <w:ind w:left="935"/>
      </w:pPr>
      <w:r w:rsidRPr="007F7024">
        <w:t>Základní informace o žadateli (název, IČO, sídlo, typ žadatele, kontaktní osoba)</w:t>
      </w:r>
    </w:p>
    <w:p w14:paraId="1FF54B27" w14:textId="44640E34" w:rsidR="00467313" w:rsidRPr="007F7024" w:rsidRDefault="00467313" w:rsidP="004004F6">
      <w:pPr>
        <w:pStyle w:val="nadpis3"/>
        <w:ind w:left="1191"/>
      </w:pPr>
      <w:r w:rsidRPr="007F7024">
        <w:t>Žadatel typu nestátní nezisková organizace, církev či církevní organizace minimálně 2 roky bezprostředně před podáním žádosti o podporu nepřetržitě vykonává veřejně prospěšnou činnost.</w:t>
      </w:r>
    </w:p>
    <w:p w14:paraId="1FC5B328" w14:textId="6FE138C2" w:rsidR="00226FDC" w:rsidRPr="007F7024" w:rsidRDefault="00000000" w:rsidP="00F44C78">
      <w:pPr>
        <w:ind w:left="156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Segoe UI" w:hAnsi="Segoe UI" w:cs="Segoe UI"/>
            <w:color w:val="000000"/>
            <w:sz w:val="20"/>
            <w:szCs w:val="20"/>
          </w:rPr>
          <w:alias w:val=""/>
          <w:tag w:val=""/>
          <w:id w:val="1928927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FDC" w:rsidRPr="007F702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226FDC" w:rsidRPr="007F7024">
        <w:rPr>
          <w:rFonts w:ascii="Segoe UI" w:hAnsi="Segoe UI" w:cs="Segoe UI"/>
          <w:sz w:val="20"/>
          <w:szCs w:val="20"/>
        </w:rPr>
        <w:t xml:space="preserve"> Ano,</w:t>
      </w:r>
    </w:p>
    <w:p w14:paraId="7E76C36B" w14:textId="77777777" w:rsidR="00226FDC" w:rsidRPr="007F7024" w:rsidRDefault="00000000" w:rsidP="00F44C78">
      <w:pPr>
        <w:ind w:left="156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Segoe UI" w:hAnsi="Segoe UI" w:cs="Segoe UI"/>
            <w:color w:val="000000"/>
            <w:sz w:val="20"/>
            <w:szCs w:val="20"/>
          </w:rPr>
          <w:alias w:val=""/>
          <w:tag w:val=""/>
          <w:id w:val="-131509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FDC" w:rsidRPr="007F702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226FDC" w:rsidRPr="007F7024">
        <w:rPr>
          <w:rFonts w:ascii="Segoe UI" w:hAnsi="Segoe UI" w:cs="Segoe UI"/>
          <w:sz w:val="20"/>
          <w:szCs w:val="20"/>
        </w:rPr>
        <w:t xml:space="preserve"> Ne.</w:t>
      </w:r>
    </w:p>
    <w:p w14:paraId="244EDBD5" w14:textId="2B8F65C3" w:rsidR="00732E09" w:rsidRPr="007F7024" w:rsidRDefault="001A167F" w:rsidP="00256B9C">
      <w:pPr>
        <w:pStyle w:val="nadpis1"/>
      </w:pPr>
      <w:r w:rsidRPr="007F7024">
        <w:t>Charakteristika projektového záměru</w:t>
      </w:r>
    </w:p>
    <w:p w14:paraId="7B3467D7" w14:textId="77777777" w:rsidR="00120770" w:rsidRPr="007F7024" w:rsidRDefault="001A167F" w:rsidP="004004F6">
      <w:pPr>
        <w:pStyle w:val="nadpis2"/>
        <w:ind w:left="935"/>
      </w:pPr>
      <w:r w:rsidRPr="007F7024">
        <w:t>Základní popis projektového záměru</w:t>
      </w:r>
    </w:p>
    <w:p w14:paraId="2E499B6B" w14:textId="50AC791C" w:rsidR="00732E09" w:rsidRPr="007F7024" w:rsidRDefault="00120770" w:rsidP="004004F6">
      <w:pPr>
        <w:pStyle w:val="nadpis3"/>
        <w:ind w:left="1191"/>
      </w:pPr>
      <w:r w:rsidRPr="007F7024">
        <w:t>Popi</w:t>
      </w:r>
      <w:r w:rsidR="00D06C09" w:rsidRPr="007F7024">
        <w:t>s</w:t>
      </w:r>
      <w:r w:rsidRPr="007F7024">
        <w:t>,</w:t>
      </w:r>
      <w:r w:rsidR="0067083F" w:rsidRPr="007F7024">
        <w:t xml:space="preserve"> jak bude fungovat registrace</w:t>
      </w:r>
      <w:r w:rsidRPr="007F7024">
        <w:t xml:space="preserve"> uživatelů</w:t>
      </w:r>
      <w:r w:rsidR="00B60182" w:rsidRPr="007F7024">
        <w:t xml:space="preserve"> a provoz dílny – lze doložit</w:t>
      </w:r>
      <w:r w:rsidRPr="007F7024">
        <w:t xml:space="preserve"> uživatelsk</w:t>
      </w:r>
      <w:r w:rsidR="00B60182" w:rsidRPr="007F7024">
        <w:t>ou</w:t>
      </w:r>
      <w:r w:rsidRPr="007F7024">
        <w:t xml:space="preserve"> smlouv</w:t>
      </w:r>
      <w:r w:rsidR="00B60182" w:rsidRPr="007F7024">
        <w:t>u</w:t>
      </w:r>
      <w:r w:rsidRPr="007F7024">
        <w:t>, poučení o bezpečnosti, podmínky užívání dílny</w:t>
      </w:r>
      <w:r w:rsidR="00B60182" w:rsidRPr="007F7024">
        <w:t>.</w:t>
      </w:r>
    </w:p>
    <w:p w14:paraId="1B2F235B" w14:textId="18AD0079" w:rsidR="00B66AEC" w:rsidRPr="007F7024" w:rsidRDefault="00D70FBF" w:rsidP="004004F6">
      <w:pPr>
        <w:pStyle w:val="nadpis2"/>
        <w:ind w:left="935"/>
      </w:pPr>
      <w:r w:rsidRPr="007F7024">
        <w:t>P</w:t>
      </w:r>
      <w:r w:rsidR="0067083F" w:rsidRPr="007F7024">
        <w:t>rojekt</w:t>
      </w:r>
      <w:r w:rsidR="00B66AEC" w:rsidRPr="007F7024">
        <w:t xml:space="preserve"> </w:t>
      </w:r>
      <w:r w:rsidRPr="007F7024">
        <w:t xml:space="preserve">je </w:t>
      </w:r>
      <w:r w:rsidR="00B66AEC" w:rsidRPr="007F7024">
        <w:t>kombinován s coworkingovým centrem</w:t>
      </w:r>
      <w:r w:rsidR="00B66AEC" w:rsidRPr="007F7024">
        <w:rPr>
          <w:rStyle w:val="Znakapoznpodarou"/>
        </w:rPr>
        <w:footnoteReference w:id="1"/>
      </w:r>
      <w:r w:rsidR="00B66AEC" w:rsidRPr="007F7024">
        <w:t xml:space="preserve">, </w:t>
      </w:r>
      <w:proofErr w:type="spellStart"/>
      <w:r w:rsidR="00B66AEC" w:rsidRPr="007F7024">
        <w:t>reuse</w:t>
      </w:r>
      <w:proofErr w:type="spellEnd"/>
      <w:r w:rsidR="00B66AEC" w:rsidRPr="007F7024">
        <w:rPr>
          <w:rStyle w:val="Znakapoznpodarou"/>
        </w:rPr>
        <w:footnoteReference w:id="2"/>
      </w:r>
      <w:r w:rsidR="00B66AEC" w:rsidRPr="007F7024">
        <w:t xml:space="preserve"> či redesign</w:t>
      </w:r>
      <w:r w:rsidR="003016BE" w:rsidRPr="007F7024">
        <w:rPr>
          <w:rStyle w:val="Znakapoznpodarou"/>
        </w:rPr>
        <w:footnoteReference w:id="3"/>
      </w:r>
      <w:r w:rsidR="00B66AEC" w:rsidRPr="007F7024">
        <w:t xml:space="preserve"> dílnou, </w:t>
      </w:r>
      <w:r w:rsidR="00FA72F8" w:rsidRPr="007F7024">
        <w:t xml:space="preserve">nebo </w:t>
      </w:r>
      <w:r w:rsidR="00B66AEC" w:rsidRPr="007F7024">
        <w:t>zakázkovou výrobou</w:t>
      </w:r>
      <w:r w:rsidR="00FA72F8" w:rsidRPr="007F7024">
        <w:t xml:space="preserve"> či službami</w:t>
      </w:r>
      <w:r w:rsidR="00B66AEC" w:rsidRPr="007F7024">
        <w:t xml:space="preserve">, anebo </w:t>
      </w:r>
      <w:r w:rsidR="00FA72F8" w:rsidRPr="007F7024">
        <w:t>umožňuje</w:t>
      </w:r>
      <w:r w:rsidR="00B66AEC" w:rsidRPr="007F7024">
        <w:t xml:space="preserve"> na základě formálního a dlouhodobého vztahu se školou vzdělávání žákům či studentům</w:t>
      </w:r>
      <w:r w:rsidRPr="007F7024">
        <w:t>.</w:t>
      </w:r>
    </w:p>
    <w:p w14:paraId="7A6C103A" w14:textId="77777777" w:rsidR="00B66AEC" w:rsidRPr="007F7024" w:rsidRDefault="00000000" w:rsidP="00226FDC">
      <w:pPr>
        <w:ind w:left="1134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Segoe UI" w:hAnsi="Segoe UI" w:cs="Segoe UI"/>
            <w:color w:val="000000"/>
            <w:sz w:val="20"/>
            <w:szCs w:val="20"/>
          </w:rPr>
          <w:alias w:val=""/>
          <w:tag w:val=""/>
          <w:id w:val="-1756353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AEC" w:rsidRPr="007F702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B66AEC" w:rsidRPr="007F7024">
        <w:rPr>
          <w:rFonts w:ascii="Segoe UI" w:hAnsi="Segoe UI" w:cs="Segoe UI"/>
          <w:sz w:val="20"/>
          <w:szCs w:val="20"/>
        </w:rPr>
        <w:t xml:space="preserve"> Ano,</w:t>
      </w:r>
    </w:p>
    <w:p w14:paraId="1EB78DCA" w14:textId="77777777" w:rsidR="00B66AEC" w:rsidRPr="007F7024" w:rsidRDefault="00000000" w:rsidP="00226FDC">
      <w:pPr>
        <w:ind w:left="1134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Segoe UI" w:hAnsi="Segoe UI" w:cs="Segoe UI"/>
            <w:color w:val="000000"/>
            <w:sz w:val="20"/>
            <w:szCs w:val="20"/>
          </w:rPr>
          <w:alias w:val=""/>
          <w:tag w:val=""/>
          <w:id w:val="-1478989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AEC" w:rsidRPr="007F702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B66AEC" w:rsidRPr="007F7024">
        <w:rPr>
          <w:rFonts w:ascii="Segoe UI" w:hAnsi="Segoe UI" w:cs="Segoe UI"/>
          <w:sz w:val="20"/>
          <w:szCs w:val="20"/>
        </w:rPr>
        <w:t xml:space="preserve"> Ne.</w:t>
      </w:r>
    </w:p>
    <w:p w14:paraId="02C736A8" w14:textId="2C76B773" w:rsidR="00B66AEC" w:rsidRPr="007F7024" w:rsidRDefault="00FA72F8" w:rsidP="004004F6">
      <w:pPr>
        <w:pStyle w:val="nadpis2"/>
        <w:ind w:left="935"/>
      </w:pPr>
      <w:r w:rsidRPr="007F7024">
        <w:lastRenderedPageBreak/>
        <w:t>Pro projekty v režimu SOHZ</w:t>
      </w:r>
      <w:r w:rsidR="007F7024" w:rsidRPr="007F7024">
        <w:rPr>
          <w:rStyle w:val="Znakapoznpodarou"/>
        </w:rPr>
        <w:footnoteReference w:id="4"/>
      </w:r>
      <w:r w:rsidRPr="007F7024">
        <w:t xml:space="preserve"> je zajištěno, že minimálně 50 % plochy</w:t>
      </w:r>
      <w:r w:rsidRPr="007F7024">
        <w:rPr>
          <w:rStyle w:val="Znakapoznpodarou"/>
        </w:rPr>
        <w:footnoteReference w:id="5"/>
      </w:r>
      <w:r w:rsidRPr="007F7024">
        <w:t xml:space="preserve"> je využíváno pouze pro sdílenou dílnu, a sdílená dílna bude k dispozici všem zájemcům, kteří o ni projeví zájem. U projektů v režimu GBER čl. 56</w:t>
      </w:r>
      <w:r w:rsidR="007F7024">
        <w:rPr>
          <w:rStyle w:val="Znakapoznpodarou"/>
        </w:rPr>
        <w:footnoteReference w:id="6"/>
      </w:r>
      <w:r w:rsidRPr="007F7024">
        <w:t xml:space="preserve"> je zajištěno, že sdílená dílna bude k dispozici všem zájemcům, kteří o ni projeví zájem. Cena účtovaná za užívání sdílené dílny bude cenou tržní</w:t>
      </w:r>
      <w:r w:rsidR="00D70FBF" w:rsidRPr="007F7024">
        <w:t>.</w:t>
      </w:r>
    </w:p>
    <w:p w14:paraId="2F888E51" w14:textId="77777777" w:rsidR="00B66AEC" w:rsidRPr="007F7024" w:rsidRDefault="00000000" w:rsidP="00226FDC">
      <w:pPr>
        <w:ind w:left="1134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Segoe UI" w:hAnsi="Segoe UI" w:cs="Segoe UI"/>
            <w:color w:val="000000"/>
            <w:sz w:val="20"/>
            <w:szCs w:val="20"/>
          </w:rPr>
          <w:alias w:val=""/>
          <w:tag w:val=""/>
          <w:id w:val="-1071804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AEC" w:rsidRPr="007F702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B66AEC" w:rsidRPr="007F7024">
        <w:rPr>
          <w:rFonts w:ascii="Segoe UI" w:hAnsi="Segoe UI" w:cs="Segoe UI"/>
          <w:sz w:val="20"/>
          <w:szCs w:val="20"/>
        </w:rPr>
        <w:t xml:space="preserve"> Ano,</w:t>
      </w:r>
    </w:p>
    <w:p w14:paraId="761932DA" w14:textId="669FC1B5" w:rsidR="000A6C3A" w:rsidRPr="007F7024" w:rsidRDefault="00000000" w:rsidP="00FA72F8">
      <w:pPr>
        <w:ind w:left="1134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Segoe UI" w:hAnsi="Segoe UI" w:cs="Segoe UI"/>
            <w:color w:val="000000"/>
            <w:sz w:val="20"/>
            <w:szCs w:val="20"/>
          </w:rPr>
          <w:alias w:val=""/>
          <w:tag w:val=""/>
          <w:id w:val="1413815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AEC" w:rsidRPr="007F7024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B66AEC" w:rsidRPr="007F7024">
        <w:rPr>
          <w:rFonts w:ascii="Segoe UI" w:hAnsi="Segoe UI" w:cs="Segoe UI"/>
          <w:sz w:val="20"/>
          <w:szCs w:val="20"/>
        </w:rPr>
        <w:t xml:space="preserve"> Ne.</w:t>
      </w:r>
    </w:p>
    <w:p w14:paraId="3E6D38E1" w14:textId="08041781" w:rsidR="00B66AEC" w:rsidRPr="007F7024" w:rsidRDefault="00D70FBF" w:rsidP="004004F6">
      <w:pPr>
        <w:pStyle w:val="nadpis2"/>
        <w:ind w:left="935"/>
      </w:pPr>
      <w:r w:rsidRPr="007F7024">
        <w:t>S</w:t>
      </w:r>
      <w:r w:rsidR="00B66AEC" w:rsidRPr="007F7024">
        <w:t>dílen</w:t>
      </w:r>
      <w:r w:rsidR="00FA72F8" w:rsidRPr="007F7024">
        <w:t>á</w:t>
      </w:r>
      <w:r w:rsidR="00B66AEC" w:rsidRPr="007F7024">
        <w:t xml:space="preserve"> díln</w:t>
      </w:r>
      <w:r w:rsidR="00FA72F8" w:rsidRPr="007F7024">
        <w:t>a</w:t>
      </w:r>
      <w:r w:rsidRPr="007F7024">
        <w:t xml:space="preserve"> bud</w:t>
      </w:r>
      <w:r w:rsidR="00FA72F8" w:rsidRPr="007F7024">
        <w:t>e</w:t>
      </w:r>
      <w:r w:rsidR="00B66AEC" w:rsidRPr="007F7024">
        <w:t xml:space="preserve"> dostupn</w:t>
      </w:r>
      <w:r w:rsidR="006559DE">
        <w:t>á</w:t>
      </w:r>
      <w:r w:rsidR="00B66AEC" w:rsidRPr="007F7024">
        <w:t xml:space="preserve"> pro </w:t>
      </w:r>
      <w:r w:rsidR="00FA72F8" w:rsidRPr="007F7024">
        <w:t xml:space="preserve">relevantní zájemce </w:t>
      </w:r>
      <w:r w:rsidR="00B66AEC" w:rsidRPr="007F7024">
        <w:t>za transparentních a nediskriminačních podmínek</w:t>
      </w:r>
      <w:r w:rsidR="00EE4D9F" w:rsidRPr="007F7024">
        <w:t>.</w:t>
      </w:r>
    </w:p>
    <w:p w14:paraId="7F2BD737" w14:textId="77777777" w:rsidR="00B66AEC" w:rsidRPr="007F7024" w:rsidRDefault="00000000" w:rsidP="00226FDC">
      <w:pPr>
        <w:ind w:left="1134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alias w:val=""/>
          <w:tag w:val=""/>
          <w:id w:val="-1003349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AEC" w:rsidRPr="007F70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6AEC" w:rsidRPr="007F7024">
        <w:rPr>
          <w:rFonts w:ascii="Segoe UI" w:hAnsi="Segoe UI" w:cs="Segoe UI"/>
          <w:sz w:val="20"/>
          <w:szCs w:val="20"/>
        </w:rPr>
        <w:t xml:space="preserve"> Ano,</w:t>
      </w:r>
    </w:p>
    <w:p w14:paraId="5E5C54B3" w14:textId="3AC9DEF1" w:rsidR="00B66AEC" w:rsidRPr="007F7024" w:rsidRDefault="00000000" w:rsidP="00226FDC">
      <w:pPr>
        <w:ind w:left="1134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alias w:val=""/>
          <w:tag w:val=""/>
          <w:id w:val="373663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AEC" w:rsidRPr="007F70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6AEC" w:rsidRPr="007F7024">
        <w:rPr>
          <w:rFonts w:ascii="Segoe UI" w:hAnsi="Segoe UI" w:cs="Segoe UI"/>
          <w:sz w:val="20"/>
          <w:szCs w:val="20"/>
        </w:rPr>
        <w:t xml:space="preserve"> Ne.</w:t>
      </w:r>
    </w:p>
    <w:p w14:paraId="58DC274B" w14:textId="77777777" w:rsidR="00732E09" w:rsidRPr="007F7024" w:rsidRDefault="001A167F" w:rsidP="00256B9C">
      <w:pPr>
        <w:pStyle w:val="nadpis1"/>
      </w:pPr>
      <w:r w:rsidRPr="007F7024">
        <w:t>Podrobný popis projektu, jeho etap a milníků</w:t>
      </w:r>
    </w:p>
    <w:p w14:paraId="6FF973F8" w14:textId="5EE74A47" w:rsidR="00732E09" w:rsidRPr="007F7024" w:rsidRDefault="001A167F" w:rsidP="004004F6">
      <w:pPr>
        <w:pStyle w:val="nadpis2"/>
        <w:ind w:left="935"/>
      </w:pPr>
      <w:r w:rsidRPr="007F7024">
        <w:t>Popis hlavních a dílčích aktivit projektu</w:t>
      </w:r>
      <w:r w:rsidR="00A06547" w:rsidRPr="007F7024">
        <w:t xml:space="preserve"> </w:t>
      </w:r>
      <w:r w:rsidRPr="007F7024">
        <w:t>(z</w:t>
      </w:r>
      <w:r w:rsidR="003F04D4">
        <w:t>a</w:t>
      </w:r>
      <w:r w:rsidRPr="007F7024">
        <w:t>měření specifikace aktivit a vhodnost jejich výběru)</w:t>
      </w:r>
    </w:p>
    <w:p w14:paraId="4FE2D7F8" w14:textId="77777777" w:rsidR="00732E09" w:rsidRPr="007F7024" w:rsidRDefault="001A167F" w:rsidP="004004F6">
      <w:pPr>
        <w:pStyle w:val="nadpis2"/>
        <w:ind w:left="935"/>
      </w:pPr>
      <w:r w:rsidRPr="007F7024">
        <w:t>Předpokládaný časový plán projektu (harmonogram)</w:t>
      </w:r>
    </w:p>
    <w:p w14:paraId="05E82E60" w14:textId="29A4550F" w:rsidR="00732E09" w:rsidRPr="007F7024" w:rsidRDefault="001A167F" w:rsidP="00256B9C">
      <w:pPr>
        <w:pStyle w:val="nadpis1"/>
      </w:pPr>
      <w:r w:rsidRPr="007F7024">
        <w:t>Analýza poptávky po službách podpořeného zařízení</w:t>
      </w:r>
    </w:p>
    <w:p w14:paraId="3747D771" w14:textId="01BBF607" w:rsidR="00732E09" w:rsidRPr="007F7024" w:rsidRDefault="00A06547" w:rsidP="004004F6">
      <w:pPr>
        <w:pStyle w:val="nadpis2"/>
        <w:ind w:left="935"/>
      </w:pPr>
      <w:r w:rsidRPr="007F7024">
        <w:t>I</w:t>
      </w:r>
      <w:r w:rsidR="001A167F" w:rsidRPr="007F7024">
        <w:t>dentifikace potenciálních klientů, resp. cílových skupin včetně údajů o počtu uživatelů</w:t>
      </w:r>
    </w:p>
    <w:p w14:paraId="5A20D73A" w14:textId="550E9D57" w:rsidR="00732E09" w:rsidRPr="007F7024" w:rsidRDefault="00A06547" w:rsidP="004004F6">
      <w:pPr>
        <w:pStyle w:val="nadpis2"/>
        <w:ind w:left="935"/>
      </w:pPr>
      <w:r w:rsidRPr="007F7024">
        <w:t>A</w:t>
      </w:r>
      <w:r w:rsidR="001A167F" w:rsidRPr="007F7024">
        <w:t>nalýza obdobných zařízení ve spádové oblasti</w:t>
      </w:r>
    </w:p>
    <w:p w14:paraId="38EDA95B" w14:textId="5E8298D3" w:rsidR="00732E09" w:rsidRPr="007F7024" w:rsidRDefault="00A06547" w:rsidP="004004F6">
      <w:pPr>
        <w:pStyle w:val="nadpis2"/>
        <w:ind w:left="935"/>
      </w:pPr>
      <w:r w:rsidRPr="007F7024">
        <w:t>P</w:t>
      </w:r>
      <w:r w:rsidR="001A167F" w:rsidRPr="007F7024">
        <w:t>opis aktuálního stav</w:t>
      </w:r>
      <w:r w:rsidR="005126C7" w:rsidRPr="007F7024">
        <w:t>u</w:t>
      </w:r>
      <w:r w:rsidR="001A167F" w:rsidRPr="007F7024">
        <w:t xml:space="preserve"> a analýza potřebnosti projektu</w:t>
      </w:r>
    </w:p>
    <w:p w14:paraId="1086E75F" w14:textId="205FF2DF" w:rsidR="00732E09" w:rsidRPr="007F7024" w:rsidRDefault="001A167F" w:rsidP="00256B9C">
      <w:pPr>
        <w:pStyle w:val="nadpis1"/>
      </w:pPr>
      <w:r w:rsidRPr="007F7024">
        <w:t>Popis očekávaných cílů projektu, jeho výsledků a výstupů</w:t>
      </w:r>
    </w:p>
    <w:p w14:paraId="2266DCCA" w14:textId="77777777" w:rsidR="00732E09" w:rsidRPr="007F7024" w:rsidRDefault="001A167F" w:rsidP="004004F6">
      <w:pPr>
        <w:pStyle w:val="nadpis2"/>
        <w:ind w:left="935"/>
      </w:pPr>
      <w:r w:rsidRPr="007F7024">
        <w:t>Způsob a odůvodnění výpočtu cílových hodnot ukazatelů</w:t>
      </w:r>
    </w:p>
    <w:p w14:paraId="72A033E4" w14:textId="716E531C" w:rsidR="00732E09" w:rsidRPr="007F7024" w:rsidRDefault="001A167F" w:rsidP="004004F6">
      <w:pPr>
        <w:pStyle w:val="nadpis2"/>
        <w:ind w:left="935"/>
      </w:pPr>
      <w:r w:rsidRPr="007F7024">
        <w:t>Popis předpokládaných kvantitativních i kvalitativních změn v podpořené oblasti, ke kterým dojde prostřednictvím realizace projektu</w:t>
      </w:r>
    </w:p>
    <w:p w14:paraId="06F3AF69" w14:textId="77777777" w:rsidR="00732E09" w:rsidRPr="007F7024" w:rsidRDefault="001A167F" w:rsidP="00256B9C">
      <w:pPr>
        <w:pStyle w:val="nadpis1"/>
      </w:pPr>
      <w:r w:rsidRPr="007F7024">
        <w:t>Technické řešení projektu</w:t>
      </w:r>
    </w:p>
    <w:p w14:paraId="4D9D131B" w14:textId="5E1F98D9" w:rsidR="00732E09" w:rsidRPr="007F7024" w:rsidRDefault="001A167F" w:rsidP="004004F6">
      <w:pPr>
        <w:pStyle w:val="nadpis2"/>
        <w:ind w:left="935"/>
      </w:pPr>
      <w:r w:rsidRPr="007F7024">
        <w:t>Investiční řešení projektu</w:t>
      </w:r>
    </w:p>
    <w:p w14:paraId="1DF2C2FC" w14:textId="77777777" w:rsidR="00732E09" w:rsidRPr="007F7024" w:rsidRDefault="001A167F" w:rsidP="004004F6">
      <w:pPr>
        <w:pStyle w:val="nadpis3"/>
        <w:ind w:left="1191"/>
      </w:pPr>
      <w:r w:rsidRPr="007F7024">
        <w:t>Stručný popis stavební části</w:t>
      </w:r>
    </w:p>
    <w:p w14:paraId="1FF09446" w14:textId="2B9FA515" w:rsidR="00732E09" w:rsidRPr="007F7024" w:rsidRDefault="001A167F" w:rsidP="004004F6">
      <w:pPr>
        <w:pStyle w:val="Odstavecseseznamem"/>
        <w:numPr>
          <w:ilvl w:val="2"/>
          <w:numId w:val="1"/>
        </w:numPr>
        <w:spacing w:after="0" w:line="288" w:lineRule="auto"/>
        <w:ind w:left="1191"/>
        <w:jc w:val="both"/>
        <w:rPr>
          <w:rFonts w:ascii="Segoe UI" w:hAnsi="Segoe UI" w:cs="Segoe UI"/>
          <w:sz w:val="20"/>
          <w:szCs w:val="20"/>
        </w:rPr>
      </w:pPr>
      <w:r w:rsidRPr="007F7024">
        <w:rPr>
          <w:rFonts w:ascii="Segoe UI" w:hAnsi="Segoe UI" w:cs="Segoe UI"/>
          <w:sz w:val="20"/>
          <w:szCs w:val="20"/>
        </w:rPr>
        <w:lastRenderedPageBreak/>
        <w:t>Popis pořizovaného vybavení a dalšího zařízení</w:t>
      </w:r>
    </w:p>
    <w:p w14:paraId="6B750B4F" w14:textId="77777777" w:rsidR="00732E09" w:rsidRPr="007F7024" w:rsidRDefault="001A167F" w:rsidP="00256B9C">
      <w:pPr>
        <w:pStyle w:val="nadpis1"/>
      </w:pPr>
      <w:r w:rsidRPr="007F7024">
        <w:t>Financování projektu a rozpočet projektu</w:t>
      </w:r>
    </w:p>
    <w:p w14:paraId="1ACDCC6A" w14:textId="5C87285A" w:rsidR="00732E09" w:rsidRPr="007F7024" w:rsidRDefault="001A167F" w:rsidP="004004F6">
      <w:pPr>
        <w:pStyle w:val="nadpis2"/>
        <w:ind w:left="935"/>
      </w:pPr>
      <w:r w:rsidRPr="007F7024">
        <w:t>Rámcový rozpočet projektu</w:t>
      </w:r>
      <w:r w:rsidR="007663E3" w:rsidRPr="007F7024">
        <w:t xml:space="preserve"> – </w:t>
      </w:r>
      <w:r w:rsidRPr="007F7024">
        <w:t>celkové náklady projektu a jejich rozčlenění na investiční a neinvestiční náklady</w:t>
      </w:r>
      <w:r w:rsidR="00FA72F8" w:rsidRPr="007F7024">
        <w:rPr>
          <w:rStyle w:val="Znakapoznpodarou"/>
        </w:rPr>
        <w:footnoteReference w:id="7"/>
      </w:r>
    </w:p>
    <w:p w14:paraId="6427D0A1" w14:textId="2C51EE13" w:rsidR="00732E09" w:rsidRPr="007F7024" w:rsidRDefault="001A167F" w:rsidP="004004F6">
      <w:pPr>
        <w:pStyle w:val="nadpis2"/>
        <w:ind w:left="935"/>
      </w:pPr>
      <w:r w:rsidRPr="007F7024">
        <w:t xml:space="preserve">Předpokládaná forma financování a </w:t>
      </w:r>
      <w:r w:rsidR="000C2755" w:rsidRPr="007F7024">
        <w:t xml:space="preserve">její </w:t>
      </w:r>
      <w:r w:rsidRPr="007F7024">
        <w:t>výše (dotace, vlastní zdroje, úvěr, bankovní záruka, jiné)</w:t>
      </w:r>
    </w:p>
    <w:p w14:paraId="667B8D53" w14:textId="0405D57A" w:rsidR="00732E09" w:rsidRPr="007F7024" w:rsidRDefault="007F7024" w:rsidP="004004F6">
      <w:pPr>
        <w:pStyle w:val="nadpis2"/>
        <w:ind w:left="935"/>
      </w:pPr>
      <w:r w:rsidRPr="007F7024">
        <w:t xml:space="preserve">Popis financování provozní fáze projektu, odůvodnění stanovení výše tržního nájemného za využívání infrastruktury </w:t>
      </w:r>
      <w:r w:rsidR="00946EEE">
        <w:t>v režimu</w:t>
      </w:r>
      <w:r w:rsidRPr="007F7024">
        <w:t xml:space="preserve"> GBER čl. 56, odůvodnění výše a zdrojů krytí provozní ztráty pro projekty financované v režimu SOHZ.</w:t>
      </w:r>
    </w:p>
    <w:p w14:paraId="01C9A4EF" w14:textId="3C556C21" w:rsidR="007F7024" w:rsidRPr="007F7024" w:rsidRDefault="007F7024" w:rsidP="00256B9C">
      <w:pPr>
        <w:pStyle w:val="nadpis1"/>
      </w:pPr>
      <w:r w:rsidRPr="007F7024">
        <w:t>Veřejná podpora</w:t>
      </w:r>
    </w:p>
    <w:p w14:paraId="661C8603" w14:textId="72F40292" w:rsidR="007F7024" w:rsidRPr="007F7024" w:rsidRDefault="007F7024" w:rsidP="007F7024">
      <w:pPr>
        <w:pStyle w:val="nadpis1"/>
        <w:numPr>
          <w:ilvl w:val="0"/>
          <w:numId w:val="0"/>
        </w:numPr>
        <w:rPr>
          <w:b w:val="0"/>
          <w:bCs/>
        </w:rPr>
      </w:pPr>
      <w:r w:rsidRPr="007F7024">
        <w:rPr>
          <w:b w:val="0"/>
          <w:bCs/>
        </w:rPr>
        <w:t>Projekty způsobilé pro tuto výzvu lze z důvodu jejich zaměření financovat pouze v režimu veřejné podpory. V závislosti na způsobu následného financování provozu, lze použít jeden z níže uvedených režimů veřejné podpory:</w:t>
      </w:r>
    </w:p>
    <w:p w14:paraId="258BF491" w14:textId="477144E6" w:rsidR="007F7024" w:rsidRPr="007F7024" w:rsidRDefault="007F7024" w:rsidP="007F7024">
      <w:pPr>
        <w:pStyle w:val="nadpis2"/>
        <w:ind w:left="935"/>
      </w:pPr>
      <w:r w:rsidRPr="007F7024">
        <w:t>Veřejná podpora v režimu závazku veřejné služby (SOHZ) – vhodná pro projekty, které vyžadují dodatečné provozní financování z veřejných zdrojů.</w:t>
      </w:r>
    </w:p>
    <w:p w14:paraId="19A4C4B3" w14:textId="73D9EABF" w:rsidR="007F7024" w:rsidRDefault="007F7024" w:rsidP="00AF6F38">
      <w:pPr>
        <w:pStyle w:val="nadpis2"/>
        <w:numPr>
          <w:ilvl w:val="0"/>
          <w:numId w:val="0"/>
        </w:numPr>
        <w:tabs>
          <w:tab w:val="clear" w:pos="385"/>
        </w:tabs>
        <w:ind w:left="936"/>
      </w:pPr>
      <w:r w:rsidRPr="007F7024">
        <w:t xml:space="preserve">Žadatel předloží pověření závazkem veřejné služby ze strany veřejného subjektu – kraje, </w:t>
      </w:r>
      <w:r w:rsidR="00946EEE">
        <w:t xml:space="preserve">nebo </w:t>
      </w:r>
      <w:r w:rsidRPr="007F7024">
        <w:t>města, na jehož území působí.</w:t>
      </w:r>
    </w:p>
    <w:p w14:paraId="7FF5B06E" w14:textId="1EC915A5" w:rsidR="00AF6F38" w:rsidRDefault="00AF6F38" w:rsidP="00AF6F38">
      <w:pPr>
        <w:pStyle w:val="nadpis2"/>
        <w:ind w:left="936"/>
      </w:pPr>
      <w:r>
        <w:t>Veřejná podpora v režimu blokové výjimky GBER čl. 56 – vhodná pro projekty, kde je provoz inkubátoru financován výhradě z tržeb za pronájem kapacit.</w:t>
      </w:r>
    </w:p>
    <w:p w14:paraId="223AE2D7" w14:textId="0F7E790E" w:rsidR="00AF6F38" w:rsidRPr="007F7024" w:rsidRDefault="00AF6F38" w:rsidP="004004F6">
      <w:pPr>
        <w:pStyle w:val="nadpis2"/>
        <w:numPr>
          <w:ilvl w:val="0"/>
          <w:numId w:val="0"/>
        </w:numPr>
        <w:tabs>
          <w:tab w:val="clear" w:pos="385"/>
        </w:tabs>
        <w:ind w:left="936"/>
      </w:pPr>
      <w:r>
        <w:t>Žadatel předloží finanční analýzu podle vzoru v IS KP 2021+.</w:t>
      </w:r>
    </w:p>
    <w:p w14:paraId="524B50D7" w14:textId="4D066317" w:rsidR="007F7024" w:rsidRPr="007F7024" w:rsidRDefault="007F7024" w:rsidP="004004F6">
      <w:pPr>
        <w:pStyle w:val="nadpis2"/>
        <w:ind w:left="935"/>
      </w:pPr>
      <w:r w:rsidRPr="007F7024">
        <w:t>Veřejná podpora v režimu de minimis</w:t>
      </w:r>
      <w:r>
        <w:rPr>
          <w:rStyle w:val="Znakapoznpodarou"/>
        </w:rPr>
        <w:footnoteReference w:id="8"/>
      </w:r>
    </w:p>
    <w:p w14:paraId="0F6A6324" w14:textId="2A726641" w:rsidR="00732E09" w:rsidRPr="007F7024" w:rsidRDefault="001A167F" w:rsidP="00256B9C">
      <w:pPr>
        <w:pStyle w:val="nadpis1"/>
      </w:pPr>
      <w:r w:rsidRPr="007F7024">
        <w:t>Hospodárnost projektu</w:t>
      </w:r>
    </w:p>
    <w:p w14:paraId="235F26B3" w14:textId="304284E7" w:rsidR="00732E09" w:rsidRPr="007F7024" w:rsidRDefault="001A167F" w:rsidP="004004F6">
      <w:pPr>
        <w:pStyle w:val="Odstavecseseznamem"/>
        <w:numPr>
          <w:ilvl w:val="1"/>
          <w:numId w:val="1"/>
        </w:numPr>
        <w:tabs>
          <w:tab w:val="left" w:pos="386"/>
        </w:tabs>
        <w:spacing w:after="0" w:line="288" w:lineRule="auto"/>
        <w:ind w:left="935"/>
        <w:jc w:val="both"/>
        <w:rPr>
          <w:rFonts w:ascii="Segoe UI" w:hAnsi="Segoe UI" w:cs="Segoe UI"/>
          <w:iCs/>
          <w:sz w:val="20"/>
          <w:szCs w:val="20"/>
        </w:rPr>
      </w:pPr>
      <w:r w:rsidRPr="007F7024">
        <w:rPr>
          <w:rStyle w:val="nadpis2Char0"/>
        </w:rPr>
        <w:t>Způsob výběru cen klíčových aktivit (průzkum trhu, výsledek veřejné zakázky, vlastní studie apod.),</w:t>
      </w:r>
      <w:r w:rsidRPr="007F7024">
        <w:rPr>
          <w:rFonts w:ascii="Segoe UI" w:hAnsi="Segoe UI" w:cs="Segoe UI"/>
          <w:iCs/>
          <w:sz w:val="20"/>
          <w:szCs w:val="20"/>
        </w:rPr>
        <w:t xml:space="preserve"> včetně zdůvodnění</w:t>
      </w:r>
    </w:p>
    <w:p w14:paraId="145C62BE" w14:textId="77777777" w:rsidR="00732E09" w:rsidRPr="007F7024" w:rsidRDefault="001A167F" w:rsidP="00256B9C">
      <w:pPr>
        <w:pStyle w:val="nadpis1"/>
      </w:pPr>
      <w:r w:rsidRPr="007F7024">
        <w:t>Zajištění udržitelnosti projektu</w:t>
      </w:r>
    </w:p>
    <w:p w14:paraId="3744D1F7" w14:textId="77777777" w:rsidR="00732E09" w:rsidRPr="007F7024" w:rsidRDefault="001A167F" w:rsidP="004004F6">
      <w:pPr>
        <w:pStyle w:val="nadpis2"/>
        <w:ind w:left="935"/>
      </w:pPr>
      <w:r w:rsidRPr="007F7024">
        <w:rPr>
          <w:rStyle w:val="nadpis2Char0"/>
          <w:iCs/>
        </w:rPr>
        <w:t>Popis zajištění finanční udržitelnosti projektu (dotace, vlastní zdroje, úvěr, bankovní záruka, jiné,</w:t>
      </w:r>
      <w:r w:rsidRPr="007F7024">
        <w:t xml:space="preserve"> včetně poměru využití prostředků)</w:t>
      </w:r>
    </w:p>
    <w:p w14:paraId="6637BA62" w14:textId="77777777" w:rsidR="00732E09" w:rsidRPr="007F7024" w:rsidRDefault="001A167F" w:rsidP="004004F6">
      <w:pPr>
        <w:pStyle w:val="nadpis2"/>
        <w:ind w:left="935"/>
      </w:pPr>
      <w:r w:rsidRPr="007F7024">
        <w:t>Organizační struktura a řízení projektu v době udržitelnosti</w:t>
      </w:r>
    </w:p>
    <w:p w14:paraId="39B50B20" w14:textId="609E3374" w:rsidR="00732E09" w:rsidRPr="007F7024" w:rsidRDefault="001A167F" w:rsidP="004004F6">
      <w:pPr>
        <w:pStyle w:val="nadpis2"/>
        <w:ind w:left="935"/>
      </w:pPr>
      <w:r w:rsidRPr="007F7024">
        <w:t>Plánovaná opatření, která přispějí k věcné udržitelnosti aktivit a výstupů projektu</w:t>
      </w:r>
    </w:p>
    <w:p w14:paraId="717894A7" w14:textId="77777777" w:rsidR="00732E09" w:rsidRPr="007F7024" w:rsidRDefault="001A167F" w:rsidP="00256B9C">
      <w:pPr>
        <w:pStyle w:val="nadpis1"/>
      </w:pPr>
      <w:r w:rsidRPr="007F7024">
        <w:t>Riziková analýza</w:t>
      </w:r>
    </w:p>
    <w:p w14:paraId="39EBCD32" w14:textId="08809517" w:rsidR="00732E09" w:rsidRPr="007F7024" w:rsidRDefault="001A167F" w:rsidP="004004F6">
      <w:pPr>
        <w:pStyle w:val="nadpis2"/>
        <w:ind w:left="935"/>
      </w:pPr>
      <w:r w:rsidRPr="007F7024">
        <w:t xml:space="preserve">Popis hlavních rizik projektu, míra jejich závažnosti (zejména pro oblast stavební a plánovací, </w:t>
      </w:r>
      <w:r w:rsidRPr="007F7024">
        <w:lastRenderedPageBreak/>
        <w:t>technickou, právní, organizační, lidsk</w:t>
      </w:r>
      <w:r w:rsidR="00123B05" w:rsidRPr="007F7024">
        <w:t>ých</w:t>
      </w:r>
      <w:r w:rsidRPr="007F7024">
        <w:t xml:space="preserve"> zdroj</w:t>
      </w:r>
      <w:r w:rsidR="00123B05" w:rsidRPr="007F7024">
        <w:t>ů</w:t>
      </w:r>
      <w:r w:rsidRPr="007F7024">
        <w:t xml:space="preserve"> a udržitelnost</w:t>
      </w:r>
      <w:r w:rsidR="00123B05" w:rsidRPr="007F7024">
        <w:t>i</w:t>
      </w:r>
      <w:r w:rsidRPr="007F7024">
        <w:t xml:space="preserve"> projektu)</w:t>
      </w:r>
    </w:p>
    <w:p w14:paraId="36CC5EAE" w14:textId="1A51D6ED" w:rsidR="00732E09" w:rsidRPr="007F7024" w:rsidRDefault="001A167F" w:rsidP="004004F6">
      <w:pPr>
        <w:pStyle w:val="nadpis2"/>
        <w:ind w:left="935"/>
      </w:pPr>
      <w:r w:rsidRPr="007F7024">
        <w:t>Plánovaná opatření nezbytná k eliminaci rizik projektu</w:t>
      </w:r>
    </w:p>
    <w:sectPr w:rsidR="00732E09" w:rsidRPr="007F7024">
      <w:headerReference w:type="default" r:id="rId8"/>
      <w:footerReference w:type="default" r:id="rId9"/>
      <w:pgSz w:w="11906" w:h="16838"/>
      <w:pgMar w:top="1985" w:right="1418" w:bottom="851" w:left="1418" w:header="709" w:footer="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54A83" w14:textId="77777777" w:rsidR="004B5995" w:rsidRDefault="004B5995">
      <w:pPr>
        <w:spacing w:after="0" w:line="240" w:lineRule="auto"/>
      </w:pPr>
      <w:r>
        <w:separator/>
      </w:r>
    </w:p>
  </w:endnote>
  <w:endnote w:type="continuationSeparator" w:id="0">
    <w:p w14:paraId="59D67537" w14:textId="77777777" w:rsidR="004B5995" w:rsidRDefault="004B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9C7E" w14:textId="77777777" w:rsidR="00732E09" w:rsidRDefault="001A167F">
    <w:pPr>
      <w:pStyle w:val="Zpat"/>
      <w:rPr>
        <w:szCs w:val="16"/>
      </w:rPr>
    </w:pPr>
    <w:r>
      <w:rPr>
        <w:noProof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383A5" wp14:editId="24DE35CC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443DC" w14:textId="77777777" w:rsidR="00732E09" w:rsidRDefault="001A167F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383A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635443DC" w14:textId="77777777" w:rsidR="00732E09" w:rsidRDefault="001A167F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32BC3BF2" w14:textId="77777777" w:rsidR="00732E09" w:rsidRDefault="001A167F">
    <w:pPr>
      <w:pStyle w:val="Zpat"/>
      <w:spacing w:before="240"/>
      <w:rPr>
        <w:sz w:val="18"/>
      </w:rPr>
    </w:pPr>
    <w:r>
      <w:rPr>
        <w:b/>
        <w:sz w:val="18"/>
        <w:szCs w:val="16"/>
      </w:rPr>
      <w:t>Státní fond životního prostředí ČR</w:t>
    </w:r>
    <w:r>
      <w:rPr>
        <w:sz w:val="18"/>
        <w:szCs w:val="16"/>
      </w:rPr>
      <w:t>, sídlo: Kaplanova 1931/1, 148 00 Praha 11</w:t>
    </w:r>
  </w:p>
  <w:p w14:paraId="7A547167" w14:textId="77777777" w:rsidR="00732E09" w:rsidRDefault="001A167F">
    <w:pPr>
      <w:pStyle w:val="Zpat"/>
      <w:rPr>
        <w:sz w:val="18"/>
      </w:rPr>
    </w:pPr>
    <w:r>
      <w:rPr>
        <w:sz w:val="18"/>
        <w:szCs w:val="16"/>
      </w:rPr>
      <w:t>korespondenční a kontaktní adresa: Olbrachtova 2006/9, 140 00 Praha 4, T: +420 267 994 300; IČ: 00020729</w:t>
    </w:r>
  </w:p>
  <w:p w14:paraId="5CBB9364" w14:textId="4A44150B" w:rsidR="00732E09" w:rsidRDefault="001A167F">
    <w:pPr>
      <w:pStyle w:val="Zpat"/>
      <w:rPr>
        <w:rFonts w:ascii="Segoe UI" w:hAnsi="Segoe UI" w:cs="Segoe UI"/>
        <w:sz w:val="16"/>
        <w:szCs w:val="16"/>
      </w:rPr>
    </w:pPr>
    <w:r>
      <w:rPr>
        <w:b/>
        <w:sz w:val="18"/>
        <w:szCs w:val="16"/>
      </w:rPr>
      <w:t>www.opst.cz, e-mail: spravedliva.transformace@sfzp.cz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18D9C" w14:textId="77777777" w:rsidR="004B5995" w:rsidRDefault="004B5995">
      <w:pPr>
        <w:spacing w:after="0" w:line="240" w:lineRule="auto"/>
      </w:pPr>
      <w:r>
        <w:separator/>
      </w:r>
    </w:p>
  </w:footnote>
  <w:footnote w:type="continuationSeparator" w:id="0">
    <w:p w14:paraId="6C09B5CB" w14:textId="77777777" w:rsidR="004B5995" w:rsidRDefault="004B5995">
      <w:pPr>
        <w:spacing w:after="0" w:line="240" w:lineRule="auto"/>
      </w:pPr>
      <w:r>
        <w:continuationSeparator/>
      </w:r>
    </w:p>
  </w:footnote>
  <w:footnote w:id="1">
    <w:p w14:paraId="4A90E919" w14:textId="42B1B2F0" w:rsidR="00B66AEC" w:rsidRDefault="00B66AEC" w:rsidP="00B66AE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Coworkingová centra jsou prostory a organizace, které poskytují pracovní prostor fyzickým osobám a malým firmám bez vlastního zázemí. Takové firmy se tak díky coworkingovému centru mohou potkávat s jinými podnikateli a firmami, vyměňovat si zkušenosti a využívat služeb, které coworkingová centra nabízejí (např.</w:t>
      </w:r>
      <w:r w:rsidR="003241D8">
        <w:t> </w:t>
      </w:r>
      <w:r>
        <w:t>zasedací a konferenční prostory či prezentační a komunikační techniku). Mohou se také účastnit seminářů, workshopů a vzdělávacích akcí pořádaných přímo coworkingovým centrem. Typickým znakem coworkingových center jsou sdílené prostory: místnost/</w:t>
      </w:r>
      <w:r w:rsidR="00D06C09">
        <w:t>i</w:t>
      </w:r>
      <w:r>
        <w:t xml:space="preserve"> s pracovními stoly a prostory pro setkávání (kuchyňka, společné prostory).</w:t>
      </w:r>
    </w:p>
  </w:footnote>
  <w:footnote w:id="2">
    <w:p w14:paraId="6B82CDAC" w14:textId="3190519A" w:rsidR="00B66AEC" w:rsidRDefault="00B66AEC" w:rsidP="00B16EC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1472FC">
        <w:t xml:space="preserve">Jedná se o </w:t>
      </w:r>
      <w:r w:rsidRPr="00B66AEC">
        <w:t>míst</w:t>
      </w:r>
      <w:r w:rsidR="001472FC">
        <w:t>o</w:t>
      </w:r>
      <w:r w:rsidR="006D6537">
        <w:t xml:space="preserve"> pro opětovné využití </w:t>
      </w:r>
      <w:r w:rsidR="00514370">
        <w:t xml:space="preserve">a prodlužování životnosti </w:t>
      </w:r>
      <w:r w:rsidR="006D6537">
        <w:t>výrobků, tj. místo</w:t>
      </w:r>
      <w:r w:rsidRPr="00B66AEC">
        <w:t>, kam mohou občané přinést jakékoli předměty, jako je např. domácí, zahradní, opravárenské a sportovní vybavení, oblečení, textil, knihy, elektrozařízení apod., které již sami nevyužívají, ale stále mohou sloužit svému původnímu či jinému účelu. Na</w:t>
      </w:r>
      <w:r w:rsidR="00B16EC5">
        <w:t> </w:t>
      </w:r>
      <w:r w:rsidRPr="00B66AEC">
        <w:t>t</w:t>
      </w:r>
      <w:r w:rsidR="001472FC">
        <w:t>omto</w:t>
      </w:r>
      <w:r w:rsidRPr="00B66AEC">
        <w:t xml:space="preserve"> míst</w:t>
      </w:r>
      <w:r w:rsidR="001472FC">
        <w:t>ě</w:t>
      </w:r>
      <w:r w:rsidRPr="00B66AEC">
        <w:t xml:space="preserve"> je pověřený personál převezme, případně opraví či</w:t>
      </w:r>
      <w:r w:rsidR="003016BE">
        <w:t> </w:t>
      </w:r>
      <w:r w:rsidRPr="00B66AEC">
        <w:t>upraví, a předá k dalšímu využití</w:t>
      </w:r>
      <w:r w:rsidR="000F5521">
        <w:t xml:space="preserve"> či prodeji.</w:t>
      </w:r>
    </w:p>
  </w:footnote>
  <w:footnote w:id="3">
    <w:p w14:paraId="2A2F27B6" w14:textId="373E3F6D" w:rsidR="003016BE" w:rsidRDefault="003016BE" w:rsidP="00B16EC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B16EC5">
        <w:t>Jedná se o dílnu, ve které se vrací hodnota nepotřebným předmětům</w:t>
      </w:r>
      <w:r w:rsidR="00D96803">
        <w:t xml:space="preserve"> (např. nábytek)</w:t>
      </w:r>
      <w:r w:rsidR="00B16EC5">
        <w:t xml:space="preserve"> tím, že se nově upraví nebo se jim vymyslí nový účel.</w:t>
      </w:r>
    </w:p>
  </w:footnote>
  <w:footnote w:id="4">
    <w:p w14:paraId="181C459D" w14:textId="5588A0FD" w:rsidR="002B5589" w:rsidRPr="001A7D4B" w:rsidRDefault="007F7024" w:rsidP="002B5589">
      <w:pPr>
        <w:pStyle w:val="Textpoznpodarou"/>
        <w:jc w:val="both"/>
        <w:rPr>
          <w:color w:val="FF0000"/>
        </w:rPr>
      </w:pPr>
      <w:r w:rsidRPr="00A2258C">
        <w:rPr>
          <w:rStyle w:val="Znakapoznpodarou"/>
          <w:color w:val="FF0000"/>
        </w:rPr>
        <w:footnoteRef/>
      </w:r>
      <w:r>
        <w:t xml:space="preserve"> </w:t>
      </w:r>
      <w:r w:rsidR="002B5589" w:rsidRPr="001A7D4B">
        <w:rPr>
          <w:color w:val="FF0000"/>
        </w:rPr>
        <w:t>Rozhodnutí Komise</w:t>
      </w:r>
      <w:r w:rsidR="00A2258C">
        <w:rPr>
          <w:color w:val="FF0000"/>
        </w:rPr>
        <w:t xml:space="preserve"> (EU) 2012/21</w:t>
      </w:r>
      <w:r w:rsidR="002B5589" w:rsidRPr="001A7D4B">
        <w:rPr>
          <w:color w:val="FF0000"/>
        </w:rPr>
        <w:t xml:space="preserve"> ze dne 20. prosince 2011 o použití čl. 106 odst. 2 Smlouvy o fungování Evropské unie na</w:t>
      </w:r>
      <w:r w:rsidR="004D1D8E" w:rsidRPr="001A7D4B">
        <w:rPr>
          <w:color w:val="FF0000"/>
        </w:rPr>
        <w:t> </w:t>
      </w:r>
      <w:r w:rsidR="002B5589" w:rsidRPr="001A7D4B">
        <w:rPr>
          <w:color w:val="FF0000"/>
        </w:rPr>
        <w:t>státní podporu ve formě vyrovnávací platby za závazek veřejné služby udělené určitým podnikům pověřeným poskytováním služeb obecného hospodářského zájmu, platné pro pověření uzavřená do</w:t>
      </w:r>
      <w:r w:rsidR="00A2258C">
        <w:rPr>
          <w:color w:val="FF0000"/>
        </w:rPr>
        <w:t> </w:t>
      </w:r>
      <w:r w:rsidR="002B5589" w:rsidRPr="001A7D4B">
        <w:rPr>
          <w:color w:val="FF0000"/>
        </w:rPr>
        <w:t>8.</w:t>
      </w:r>
      <w:r w:rsidR="00A2258C">
        <w:rPr>
          <w:color w:val="FF0000"/>
        </w:rPr>
        <w:t> </w:t>
      </w:r>
      <w:r w:rsidR="002B5589" w:rsidRPr="001A7D4B">
        <w:rPr>
          <w:color w:val="FF0000"/>
        </w:rPr>
        <w:t>1.</w:t>
      </w:r>
      <w:r w:rsidR="00A2258C">
        <w:rPr>
          <w:color w:val="FF0000"/>
        </w:rPr>
        <w:t> </w:t>
      </w:r>
      <w:r w:rsidR="002B5589" w:rsidRPr="001A7D4B">
        <w:rPr>
          <w:color w:val="FF0000"/>
        </w:rPr>
        <w:t>2026</w:t>
      </w:r>
      <w:r w:rsidR="004D1D8E" w:rsidRPr="001A7D4B">
        <w:rPr>
          <w:color w:val="FF0000"/>
        </w:rPr>
        <w:t>.</w:t>
      </w:r>
    </w:p>
    <w:p w14:paraId="39795DBA" w14:textId="77FA8B65" w:rsidR="007F7024" w:rsidRDefault="002B5589" w:rsidP="002B5589">
      <w:pPr>
        <w:pStyle w:val="Textpoznpodarou"/>
        <w:jc w:val="both"/>
      </w:pPr>
      <w:r w:rsidRPr="001A7D4B">
        <w:rPr>
          <w:color w:val="FF0000"/>
        </w:rPr>
        <w:t>Rozhodnutí Komise (EU) 2025/2630 ze dne 16. prosince 2025 o použití čl. 106 odst. 2 Smlouvy o fungování Evropské unie na státní podporu ve formě vyrovnávací platby za závazek veřejné služby udělené určitým podnikům pověřeným poskytováním služeb obecného hospodářského zájmu a o zrušení rozhodnutí 2012/21/EU, platné pro pověření nově uzavřená, nebo změněná dodatkem od 8.</w:t>
      </w:r>
      <w:r w:rsidR="004D1D8E" w:rsidRPr="001A7D4B">
        <w:rPr>
          <w:color w:val="FF0000"/>
        </w:rPr>
        <w:t xml:space="preserve"> </w:t>
      </w:r>
      <w:r w:rsidRPr="001A7D4B">
        <w:rPr>
          <w:color w:val="FF0000"/>
        </w:rPr>
        <w:t>1.</w:t>
      </w:r>
      <w:r w:rsidR="004D1D8E" w:rsidRPr="001A7D4B">
        <w:rPr>
          <w:color w:val="FF0000"/>
        </w:rPr>
        <w:t xml:space="preserve"> </w:t>
      </w:r>
      <w:r w:rsidRPr="001A7D4B">
        <w:rPr>
          <w:color w:val="FF0000"/>
        </w:rPr>
        <w:t>2026 včetně</w:t>
      </w:r>
      <w:r w:rsidR="004D1D8E" w:rsidRPr="001A7D4B">
        <w:rPr>
          <w:color w:val="FF0000"/>
        </w:rPr>
        <w:t>.</w:t>
      </w:r>
    </w:p>
  </w:footnote>
  <w:footnote w:id="5">
    <w:p w14:paraId="5F62293D" w14:textId="77777777" w:rsidR="00FA72F8" w:rsidRDefault="00FA72F8" w:rsidP="00FA72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D1A">
        <w:t>Žadatel podmínku doloží odkazem na konkrétní část projektové dokumentace a vyznačí plochy určené pro</w:t>
      </w:r>
      <w:r>
        <w:t> </w:t>
      </w:r>
      <w:r w:rsidRPr="00AB4D1A">
        <w:t>sdílenou dílnu ve schématu půdorysu.</w:t>
      </w:r>
    </w:p>
  </w:footnote>
  <w:footnote w:id="6">
    <w:p w14:paraId="298D88CE" w14:textId="5F3EEEC0" w:rsidR="007F7024" w:rsidRDefault="007F70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F7024">
        <w:t>Nařízení Komise (EU) č. 651/2014 ze dne 17. června 2014, kterým se v souladu s články 107 a 108 Smlouvy prohlašují určité kategorie podpory za slučitelné s vnitřním trhem (obecné nařízení o blokových výjimkách – GBER).</w:t>
      </w:r>
    </w:p>
  </w:footnote>
  <w:footnote w:id="7">
    <w:p w14:paraId="4823E102" w14:textId="6E0EEB35" w:rsidR="00FA72F8" w:rsidRDefault="00FA72F8" w:rsidP="00FA72F8">
      <w:pPr>
        <w:pStyle w:val="Textpoznpodarou"/>
      </w:pPr>
      <w:r>
        <w:rPr>
          <w:rStyle w:val="Znakapoznpodarou"/>
        </w:rPr>
        <w:footnoteRef/>
      </w:r>
      <w:r>
        <w:t xml:space="preserve"> Neinvestiční náklady jsou relevantní pouze v případě podpory v režimu de minimis a SOHZ.</w:t>
      </w:r>
    </w:p>
  </w:footnote>
  <w:footnote w:id="8">
    <w:p w14:paraId="091456D4" w14:textId="28953502" w:rsidR="007F7024" w:rsidRDefault="007F70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F7024">
        <w:t>Nařízením Komise 2023/2831 ze dne 13. prosince 2023 o použití článků 107 a 108 Smlouvy o fungování Evropské unie na podporu de minimis, zveřejněném v Úředním věstníku EU dne 15. 12. 2023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A27A" w14:textId="77777777" w:rsidR="00732E09" w:rsidRDefault="001A167F">
    <w:pPr>
      <w:pStyle w:val="Zhlav"/>
    </w:pPr>
    <w:r>
      <w:rPr>
        <w:noProof/>
        <w:lang w:eastAsia="cs-CZ"/>
      </w:rPr>
      <mc:AlternateContent>
        <mc:Choice Requires="wpg">
          <w:drawing>
            <wp:inline distT="0" distB="0" distL="0" distR="0" wp14:anchorId="1B232099" wp14:editId="2DA64721">
              <wp:extent cx="5730696" cy="508000"/>
              <wp:effectExtent l="0" t="0" r="3810" b="6350"/>
              <wp:docPr id="1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PST_2021_EU_MZP_SFZP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0696" cy="50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51.2pt;height:40.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963D37"/>
    <w:multiLevelType w:val="hybridMultilevel"/>
    <w:tmpl w:val="58FFC3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D86B6A"/>
    <w:multiLevelType w:val="multilevel"/>
    <w:tmpl w:val="0DB681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FB2FBD"/>
    <w:multiLevelType w:val="hybridMultilevel"/>
    <w:tmpl w:val="55BA37EE"/>
    <w:lvl w:ilvl="0" w:tplc="0405000F">
      <w:start w:val="1"/>
      <w:numFmt w:val="decimal"/>
      <w:lvlText w:val="%1.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1B250DF2"/>
    <w:multiLevelType w:val="multilevel"/>
    <w:tmpl w:val="BB6211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BA1C04"/>
    <w:multiLevelType w:val="hybridMultilevel"/>
    <w:tmpl w:val="09BA6E20"/>
    <w:lvl w:ilvl="0" w:tplc="4CF01D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B3050B6">
      <w:start w:val="1"/>
      <w:numFmt w:val="lowerLetter"/>
      <w:lvlText w:val="%2."/>
      <w:lvlJc w:val="left"/>
      <w:pPr>
        <w:ind w:left="1440" w:hanging="360"/>
      </w:pPr>
    </w:lvl>
    <w:lvl w:ilvl="2" w:tplc="DD78E064">
      <w:start w:val="1"/>
      <w:numFmt w:val="lowerRoman"/>
      <w:lvlText w:val="%3."/>
      <w:lvlJc w:val="right"/>
      <w:pPr>
        <w:ind w:left="2160" w:hanging="180"/>
      </w:pPr>
    </w:lvl>
    <w:lvl w:ilvl="3" w:tplc="16AC32BC">
      <w:start w:val="1"/>
      <w:numFmt w:val="decimal"/>
      <w:lvlText w:val="%4."/>
      <w:lvlJc w:val="left"/>
      <w:pPr>
        <w:ind w:left="2880" w:hanging="360"/>
      </w:pPr>
    </w:lvl>
    <w:lvl w:ilvl="4" w:tplc="D388A108">
      <w:start w:val="1"/>
      <w:numFmt w:val="lowerLetter"/>
      <w:lvlText w:val="%5."/>
      <w:lvlJc w:val="left"/>
      <w:pPr>
        <w:ind w:left="3600" w:hanging="360"/>
      </w:pPr>
    </w:lvl>
    <w:lvl w:ilvl="5" w:tplc="26002282">
      <w:start w:val="1"/>
      <w:numFmt w:val="lowerRoman"/>
      <w:lvlText w:val="%6."/>
      <w:lvlJc w:val="right"/>
      <w:pPr>
        <w:ind w:left="4320" w:hanging="180"/>
      </w:pPr>
    </w:lvl>
    <w:lvl w:ilvl="6" w:tplc="3F34008A">
      <w:start w:val="1"/>
      <w:numFmt w:val="decimal"/>
      <w:lvlText w:val="%7."/>
      <w:lvlJc w:val="left"/>
      <w:pPr>
        <w:ind w:left="5040" w:hanging="360"/>
      </w:pPr>
    </w:lvl>
    <w:lvl w:ilvl="7" w:tplc="0994BAF6">
      <w:start w:val="1"/>
      <w:numFmt w:val="lowerLetter"/>
      <w:lvlText w:val="%8."/>
      <w:lvlJc w:val="left"/>
      <w:pPr>
        <w:ind w:left="5760" w:hanging="360"/>
      </w:pPr>
    </w:lvl>
    <w:lvl w:ilvl="8" w:tplc="E49CF8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3107C"/>
    <w:multiLevelType w:val="multilevel"/>
    <w:tmpl w:val="56FC8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ED3D6D"/>
    <w:multiLevelType w:val="multilevel"/>
    <w:tmpl w:val="8A00B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61479D"/>
    <w:multiLevelType w:val="hybridMultilevel"/>
    <w:tmpl w:val="09183A66"/>
    <w:lvl w:ilvl="0" w:tplc="A790CD2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F749D42">
      <w:start w:val="1"/>
      <w:numFmt w:val="lowerLetter"/>
      <w:lvlText w:val="%2."/>
      <w:lvlJc w:val="left"/>
      <w:pPr>
        <w:ind w:left="1440" w:hanging="360"/>
      </w:pPr>
    </w:lvl>
    <w:lvl w:ilvl="2" w:tplc="9DF65DA6">
      <w:start w:val="1"/>
      <w:numFmt w:val="lowerRoman"/>
      <w:lvlText w:val="%3."/>
      <w:lvlJc w:val="right"/>
      <w:pPr>
        <w:ind w:left="2160" w:hanging="180"/>
      </w:pPr>
    </w:lvl>
    <w:lvl w:ilvl="3" w:tplc="331E88C6">
      <w:start w:val="1"/>
      <w:numFmt w:val="decimal"/>
      <w:lvlText w:val="%4."/>
      <w:lvlJc w:val="left"/>
      <w:pPr>
        <w:ind w:left="2880" w:hanging="360"/>
      </w:pPr>
    </w:lvl>
    <w:lvl w:ilvl="4" w:tplc="81564408">
      <w:start w:val="1"/>
      <w:numFmt w:val="lowerLetter"/>
      <w:lvlText w:val="%5."/>
      <w:lvlJc w:val="left"/>
      <w:pPr>
        <w:ind w:left="3600" w:hanging="360"/>
      </w:pPr>
    </w:lvl>
    <w:lvl w:ilvl="5" w:tplc="76B6AA92">
      <w:start w:val="1"/>
      <w:numFmt w:val="lowerRoman"/>
      <w:lvlText w:val="%6."/>
      <w:lvlJc w:val="right"/>
      <w:pPr>
        <w:ind w:left="4320" w:hanging="180"/>
      </w:pPr>
    </w:lvl>
    <w:lvl w:ilvl="6" w:tplc="3D06924E">
      <w:start w:val="1"/>
      <w:numFmt w:val="decimal"/>
      <w:lvlText w:val="%7."/>
      <w:lvlJc w:val="left"/>
      <w:pPr>
        <w:ind w:left="5040" w:hanging="360"/>
      </w:pPr>
    </w:lvl>
    <w:lvl w:ilvl="7" w:tplc="490A9D12">
      <w:start w:val="1"/>
      <w:numFmt w:val="lowerLetter"/>
      <w:lvlText w:val="%8."/>
      <w:lvlJc w:val="left"/>
      <w:pPr>
        <w:ind w:left="5760" w:hanging="360"/>
      </w:pPr>
    </w:lvl>
    <w:lvl w:ilvl="8" w:tplc="2C2A8C2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77DF4"/>
    <w:multiLevelType w:val="multilevel"/>
    <w:tmpl w:val="E4A40958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964" w:hanging="510"/>
      </w:pPr>
      <w:rPr>
        <w:rFonts w:hint="default"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124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7074B60"/>
    <w:multiLevelType w:val="hybridMultilevel"/>
    <w:tmpl w:val="B7A4C3A2"/>
    <w:lvl w:ilvl="0" w:tplc="9F84F9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26F74A">
      <w:start w:val="1"/>
      <w:numFmt w:val="lowerLetter"/>
      <w:lvlText w:val="%2."/>
      <w:lvlJc w:val="left"/>
      <w:pPr>
        <w:ind w:left="1440" w:hanging="360"/>
      </w:pPr>
    </w:lvl>
    <w:lvl w:ilvl="2" w:tplc="77D6E7CA">
      <w:start w:val="1"/>
      <w:numFmt w:val="lowerRoman"/>
      <w:lvlText w:val="%3."/>
      <w:lvlJc w:val="right"/>
      <w:pPr>
        <w:ind w:left="2160" w:hanging="180"/>
      </w:pPr>
    </w:lvl>
    <w:lvl w:ilvl="3" w:tplc="C7B4E150">
      <w:start w:val="1"/>
      <w:numFmt w:val="decimal"/>
      <w:lvlText w:val="%4."/>
      <w:lvlJc w:val="left"/>
      <w:pPr>
        <w:ind w:left="2880" w:hanging="360"/>
      </w:pPr>
    </w:lvl>
    <w:lvl w:ilvl="4" w:tplc="4798075C">
      <w:start w:val="1"/>
      <w:numFmt w:val="lowerLetter"/>
      <w:lvlText w:val="%5."/>
      <w:lvlJc w:val="left"/>
      <w:pPr>
        <w:ind w:left="3600" w:hanging="360"/>
      </w:pPr>
    </w:lvl>
    <w:lvl w:ilvl="5" w:tplc="9A620D64">
      <w:start w:val="1"/>
      <w:numFmt w:val="lowerRoman"/>
      <w:lvlText w:val="%6."/>
      <w:lvlJc w:val="right"/>
      <w:pPr>
        <w:ind w:left="4320" w:hanging="180"/>
      </w:pPr>
    </w:lvl>
    <w:lvl w:ilvl="6" w:tplc="25B4C7C6">
      <w:start w:val="1"/>
      <w:numFmt w:val="decimal"/>
      <w:lvlText w:val="%7."/>
      <w:lvlJc w:val="left"/>
      <w:pPr>
        <w:ind w:left="5040" w:hanging="360"/>
      </w:pPr>
    </w:lvl>
    <w:lvl w:ilvl="7" w:tplc="98D22A2C">
      <w:start w:val="1"/>
      <w:numFmt w:val="lowerLetter"/>
      <w:lvlText w:val="%8."/>
      <w:lvlJc w:val="left"/>
      <w:pPr>
        <w:ind w:left="5760" w:hanging="360"/>
      </w:pPr>
    </w:lvl>
    <w:lvl w:ilvl="8" w:tplc="68BEA7B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F3DBE"/>
    <w:multiLevelType w:val="hybridMultilevel"/>
    <w:tmpl w:val="A246F9D6"/>
    <w:lvl w:ilvl="0" w:tplc="2D321F7A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E13C7E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9C5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47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450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9C3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44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6FC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FA7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117DA"/>
    <w:multiLevelType w:val="multilevel"/>
    <w:tmpl w:val="23E0C904"/>
    <w:lvl w:ilvl="0">
      <w:start w:val="1"/>
      <w:numFmt w:val="decimal"/>
      <w:lvlText w:val="%1."/>
      <w:lvlJc w:val="left"/>
      <w:pPr>
        <w:ind w:left="360" w:hanging="360"/>
      </w:pPr>
      <w:rPr>
        <w:rFonts w:ascii="Segoe UI" w:eastAsiaTheme="minorHAnsi" w:hAnsi="Segoe UI" w:cs="Segoe UI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2391780">
    <w:abstractNumId w:val="8"/>
  </w:num>
  <w:num w:numId="2" w16cid:durableId="808548114">
    <w:abstractNumId w:val="11"/>
  </w:num>
  <w:num w:numId="3" w16cid:durableId="1645696654">
    <w:abstractNumId w:val="10"/>
  </w:num>
  <w:num w:numId="4" w16cid:durableId="943923290">
    <w:abstractNumId w:val="9"/>
  </w:num>
  <w:num w:numId="5" w16cid:durableId="305205400">
    <w:abstractNumId w:val="1"/>
  </w:num>
  <w:num w:numId="6" w16cid:durableId="1976595060">
    <w:abstractNumId w:val="4"/>
  </w:num>
  <w:num w:numId="7" w16cid:durableId="1773209064">
    <w:abstractNumId w:val="7"/>
  </w:num>
  <w:num w:numId="8" w16cid:durableId="1885823316">
    <w:abstractNumId w:val="6"/>
  </w:num>
  <w:num w:numId="9" w16cid:durableId="1107624145">
    <w:abstractNumId w:val="3"/>
  </w:num>
  <w:num w:numId="10" w16cid:durableId="1723863180">
    <w:abstractNumId w:val="5"/>
  </w:num>
  <w:num w:numId="11" w16cid:durableId="1415858458">
    <w:abstractNumId w:val="0"/>
  </w:num>
  <w:num w:numId="12" w16cid:durableId="1169905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09"/>
    <w:rsid w:val="0007101F"/>
    <w:rsid w:val="00076461"/>
    <w:rsid w:val="000A6C3A"/>
    <w:rsid w:val="000B6C73"/>
    <w:rsid w:val="000C2755"/>
    <w:rsid w:val="000F5521"/>
    <w:rsid w:val="00120770"/>
    <w:rsid w:val="00123B05"/>
    <w:rsid w:val="001472FC"/>
    <w:rsid w:val="001A167F"/>
    <w:rsid w:val="001A1FC7"/>
    <w:rsid w:val="001A7D4B"/>
    <w:rsid w:val="00226FDC"/>
    <w:rsid w:val="002271CF"/>
    <w:rsid w:val="0024415E"/>
    <w:rsid w:val="00256B9C"/>
    <w:rsid w:val="002B5589"/>
    <w:rsid w:val="002B623C"/>
    <w:rsid w:val="002C12AA"/>
    <w:rsid w:val="002E2CBC"/>
    <w:rsid w:val="003016BE"/>
    <w:rsid w:val="003241D8"/>
    <w:rsid w:val="00337085"/>
    <w:rsid w:val="00385489"/>
    <w:rsid w:val="003A1A6C"/>
    <w:rsid w:val="003F04D4"/>
    <w:rsid w:val="004004F6"/>
    <w:rsid w:val="0042355C"/>
    <w:rsid w:val="00424BE0"/>
    <w:rsid w:val="004465CB"/>
    <w:rsid w:val="00467313"/>
    <w:rsid w:val="004B1F95"/>
    <w:rsid w:val="004B5995"/>
    <w:rsid w:val="004C2008"/>
    <w:rsid w:val="004D1D8E"/>
    <w:rsid w:val="005028D6"/>
    <w:rsid w:val="005126C7"/>
    <w:rsid w:val="00514370"/>
    <w:rsid w:val="00534619"/>
    <w:rsid w:val="00576319"/>
    <w:rsid w:val="005951E3"/>
    <w:rsid w:val="005A7A40"/>
    <w:rsid w:val="005C50F8"/>
    <w:rsid w:val="005E0F3B"/>
    <w:rsid w:val="005E58BB"/>
    <w:rsid w:val="00600C01"/>
    <w:rsid w:val="00601355"/>
    <w:rsid w:val="00633992"/>
    <w:rsid w:val="0064416D"/>
    <w:rsid w:val="006559DE"/>
    <w:rsid w:val="0067083F"/>
    <w:rsid w:val="00697B73"/>
    <w:rsid w:val="006A5F09"/>
    <w:rsid w:val="006D5A8F"/>
    <w:rsid w:val="006D6537"/>
    <w:rsid w:val="006F5369"/>
    <w:rsid w:val="007306A1"/>
    <w:rsid w:val="00732E09"/>
    <w:rsid w:val="007617C7"/>
    <w:rsid w:val="007663E3"/>
    <w:rsid w:val="0076757F"/>
    <w:rsid w:val="007E67ED"/>
    <w:rsid w:val="007F3938"/>
    <w:rsid w:val="007F7024"/>
    <w:rsid w:val="0081530B"/>
    <w:rsid w:val="00851164"/>
    <w:rsid w:val="00855164"/>
    <w:rsid w:val="008677AE"/>
    <w:rsid w:val="008F62C4"/>
    <w:rsid w:val="0092305A"/>
    <w:rsid w:val="0092505A"/>
    <w:rsid w:val="0093758B"/>
    <w:rsid w:val="009441A3"/>
    <w:rsid w:val="009460DC"/>
    <w:rsid w:val="00946EEE"/>
    <w:rsid w:val="009C5349"/>
    <w:rsid w:val="009F3153"/>
    <w:rsid w:val="00A06547"/>
    <w:rsid w:val="00A2258C"/>
    <w:rsid w:val="00A268D2"/>
    <w:rsid w:val="00A85DEA"/>
    <w:rsid w:val="00AB5B49"/>
    <w:rsid w:val="00AC11C7"/>
    <w:rsid w:val="00AC7352"/>
    <w:rsid w:val="00AF4085"/>
    <w:rsid w:val="00AF6F38"/>
    <w:rsid w:val="00B16EC5"/>
    <w:rsid w:val="00B20DE6"/>
    <w:rsid w:val="00B24A54"/>
    <w:rsid w:val="00B60182"/>
    <w:rsid w:val="00B66AEC"/>
    <w:rsid w:val="00BB1FF9"/>
    <w:rsid w:val="00BD54E6"/>
    <w:rsid w:val="00BD67D6"/>
    <w:rsid w:val="00BF0F2B"/>
    <w:rsid w:val="00C11BA2"/>
    <w:rsid w:val="00C13A2C"/>
    <w:rsid w:val="00C559AF"/>
    <w:rsid w:val="00CA081F"/>
    <w:rsid w:val="00D06C09"/>
    <w:rsid w:val="00D245AA"/>
    <w:rsid w:val="00D70CCA"/>
    <w:rsid w:val="00D70FBF"/>
    <w:rsid w:val="00D96803"/>
    <w:rsid w:val="00DD0BFD"/>
    <w:rsid w:val="00DE0F79"/>
    <w:rsid w:val="00E32D76"/>
    <w:rsid w:val="00EB1D67"/>
    <w:rsid w:val="00ED082C"/>
    <w:rsid w:val="00EE4D9F"/>
    <w:rsid w:val="00F11668"/>
    <w:rsid w:val="00F233B8"/>
    <w:rsid w:val="00F30E34"/>
    <w:rsid w:val="00F44C78"/>
    <w:rsid w:val="00F633AE"/>
    <w:rsid w:val="00F644F8"/>
    <w:rsid w:val="00F7728B"/>
    <w:rsid w:val="00FA72F8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74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0">
    <w:name w:val="heading 1"/>
    <w:basedOn w:val="Normln"/>
    <w:next w:val="Normln"/>
    <w:link w:val="Nadpis1Char"/>
    <w:uiPriority w:val="1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0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0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0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0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1Char">
    <w:name w:val="Nadpis 1 Char"/>
    <w:basedOn w:val="Standardnpsmoodstavce"/>
    <w:link w:val="Nadpis10"/>
    <w:uiPriority w:val="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uiPriority w:val="1"/>
    <w:qFormat/>
    <w:pPr>
      <w:widowControl w:val="0"/>
      <w:spacing w:after="0" w:line="240" w:lineRule="auto"/>
    </w:pPr>
    <w:rPr>
      <w:rFonts w:ascii="Arial" w:eastAsia="Arial" w:hAnsi="Arial" w:cs="Arial"/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Pr>
      <w:rFonts w:ascii="Arial" w:eastAsia="Arial" w:hAnsi="Arial" w:cs="Arial"/>
      <w:i/>
      <w:iCs/>
      <w:sz w:val="24"/>
      <w:szCs w:val="24"/>
    </w:rPr>
  </w:style>
  <w:style w:type="paragraph" w:customStyle="1" w:styleId="Default">
    <w:name w:val="Default"/>
    <w:link w:val="DefaultChar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slostrnky">
    <w:name w:val="page number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customStyle="1" w:styleId="docdata">
    <w:name w:val="docdata"/>
    <w:basedOn w:val="Standardnpsmoodstavce"/>
  </w:style>
  <w:style w:type="paragraph" w:customStyle="1" w:styleId="nadpis1">
    <w:name w:val="nadpis_1"/>
    <w:basedOn w:val="Default"/>
    <w:link w:val="nadpis1Char0"/>
    <w:qFormat/>
    <w:rsid w:val="00256B9C"/>
    <w:pPr>
      <w:keepNext/>
      <w:numPr>
        <w:numId w:val="1"/>
      </w:numPr>
      <w:spacing w:before="240" w:after="120" w:line="288" w:lineRule="auto"/>
      <w:jc w:val="both"/>
    </w:pPr>
    <w:rPr>
      <w:rFonts w:ascii="Segoe UI" w:hAnsi="Segoe UI" w:cs="Segoe UI"/>
      <w:b/>
      <w:color w:val="auto"/>
      <w:sz w:val="20"/>
      <w:szCs w:val="20"/>
    </w:rPr>
  </w:style>
  <w:style w:type="paragraph" w:customStyle="1" w:styleId="nadpis2">
    <w:name w:val="nadpis_2"/>
    <w:basedOn w:val="Odstavecseseznamem"/>
    <w:link w:val="nadpis2Char0"/>
    <w:qFormat/>
    <w:rsid w:val="00256B9C"/>
    <w:pPr>
      <w:widowControl w:val="0"/>
      <w:numPr>
        <w:ilvl w:val="1"/>
        <w:numId w:val="1"/>
      </w:numPr>
      <w:tabs>
        <w:tab w:val="left" w:pos="385"/>
      </w:tabs>
      <w:spacing w:after="0" w:line="288" w:lineRule="auto"/>
      <w:jc w:val="both"/>
    </w:pPr>
    <w:rPr>
      <w:rFonts w:ascii="Segoe UI" w:hAnsi="Segoe UI" w:cs="Segoe UI"/>
      <w:iCs/>
      <w:sz w:val="20"/>
      <w:szCs w:val="20"/>
    </w:rPr>
  </w:style>
  <w:style w:type="character" w:customStyle="1" w:styleId="DefaultChar">
    <w:name w:val="Default Char"/>
    <w:basedOn w:val="Standardnpsmoodstavce"/>
    <w:link w:val="Default"/>
    <w:rsid w:val="00256B9C"/>
    <w:rPr>
      <w:rFonts w:ascii="Arial" w:hAnsi="Arial" w:cs="Arial"/>
      <w:color w:val="000000"/>
      <w:sz w:val="24"/>
      <w:szCs w:val="24"/>
    </w:rPr>
  </w:style>
  <w:style w:type="character" w:customStyle="1" w:styleId="nadpis1Char0">
    <w:name w:val="nadpis_1 Char"/>
    <w:basedOn w:val="DefaultChar"/>
    <w:link w:val="nadpis1"/>
    <w:rsid w:val="00256B9C"/>
    <w:rPr>
      <w:rFonts w:ascii="Segoe UI" w:hAnsi="Segoe UI" w:cs="Segoe UI"/>
      <w:b/>
      <w:color w:val="000000"/>
      <w:sz w:val="20"/>
      <w:szCs w:val="20"/>
    </w:rPr>
  </w:style>
  <w:style w:type="paragraph" w:customStyle="1" w:styleId="nadpis3">
    <w:name w:val="nadpis_3"/>
    <w:basedOn w:val="Odstavecseseznamem"/>
    <w:link w:val="nadpis3Char0"/>
    <w:qFormat/>
    <w:rsid w:val="009F3153"/>
    <w:pPr>
      <w:numPr>
        <w:ilvl w:val="2"/>
        <w:numId w:val="1"/>
      </w:numPr>
      <w:spacing w:after="0" w:line="288" w:lineRule="auto"/>
      <w:jc w:val="both"/>
    </w:pPr>
    <w:rPr>
      <w:rFonts w:ascii="Segoe UI" w:hAnsi="Segoe UI" w:cs="Segoe UI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56B9C"/>
  </w:style>
  <w:style w:type="character" w:customStyle="1" w:styleId="nadpis2Char0">
    <w:name w:val="nadpis_2 Char"/>
    <w:basedOn w:val="OdstavecseseznamemChar"/>
    <w:link w:val="nadpis2"/>
    <w:rsid w:val="00256B9C"/>
    <w:rPr>
      <w:rFonts w:ascii="Segoe UI" w:hAnsi="Segoe UI" w:cs="Segoe UI"/>
      <w:iCs/>
      <w:sz w:val="20"/>
      <w:szCs w:val="20"/>
    </w:rPr>
  </w:style>
  <w:style w:type="character" w:customStyle="1" w:styleId="nadpis3Char0">
    <w:name w:val="nadpis_3 Char"/>
    <w:basedOn w:val="OdstavecseseznamemChar"/>
    <w:link w:val="nadpis3"/>
    <w:rsid w:val="009F3153"/>
    <w:rPr>
      <w:rFonts w:ascii="Segoe UI" w:hAnsi="Segoe UI" w:cs="Segoe UI"/>
      <w:sz w:val="20"/>
      <w:szCs w:val="20"/>
    </w:rPr>
  </w:style>
  <w:style w:type="paragraph" w:styleId="Revize">
    <w:name w:val="Revision"/>
    <w:hidden/>
    <w:uiPriority w:val="99"/>
    <w:semiHidden/>
    <w:rsid w:val="00512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6E70E-50CC-4A58-ADFF-AA3271E5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2026-02-20T10:39:00Z</dcterms:created>
  <dcterms:modified xsi:type="dcterms:W3CDTF">2026-02-27T09:08:00Z</dcterms:modified>
</cp:coreProperties>
</file>